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F3" w:rsidRPr="00286375" w:rsidRDefault="002B02F3">
      <w:pPr>
        <w:rPr>
          <w:rFonts w:ascii="Tahoma" w:hAnsi="Tahoma" w:cs="Tahoma"/>
          <w:b/>
          <w:sz w:val="28"/>
          <w:szCs w:val="28"/>
        </w:rPr>
      </w:pPr>
      <w:bookmarkStart w:id="0" w:name="_GoBack"/>
      <w:bookmarkEnd w:id="0"/>
      <w:r w:rsidRPr="00286375">
        <w:rPr>
          <w:rFonts w:ascii="Tahoma" w:hAnsi="Tahoma" w:cs="Tahoma"/>
          <w:b/>
          <w:sz w:val="28"/>
          <w:szCs w:val="28"/>
        </w:rPr>
        <w:t>OVERVIEW OF ACADEMIC PROGRAM REVIEW</w:t>
      </w:r>
    </w:p>
    <w:p w:rsidR="001A7E38" w:rsidRPr="009C73DE" w:rsidRDefault="001A7E38">
      <w:pPr>
        <w:pBdr>
          <w:bottom w:val="single" w:sz="12" w:space="1" w:color="auto"/>
        </w:pBdr>
        <w:rPr>
          <w:rFonts w:ascii="Tahoma" w:hAnsi="Tahoma" w:cs="Tahoma"/>
          <w:b/>
          <w:sz w:val="10"/>
          <w:szCs w:val="10"/>
        </w:rPr>
      </w:pPr>
    </w:p>
    <w:p w:rsidR="002B02F3" w:rsidRPr="008762BB" w:rsidRDefault="002B02F3">
      <w:pPr>
        <w:rPr>
          <w:rFonts w:ascii="Tahoma" w:hAnsi="Tahoma" w:cs="Tahoma"/>
          <w:b/>
          <w:sz w:val="22"/>
          <w:szCs w:val="22"/>
        </w:rPr>
      </w:pPr>
    </w:p>
    <w:p w:rsidR="002B02F3" w:rsidRPr="001779C6" w:rsidRDefault="00504AFE">
      <w:pPr>
        <w:rPr>
          <w:rFonts w:ascii="Tahoma" w:hAnsi="Tahoma" w:cs="Tahoma"/>
          <w:b/>
        </w:rPr>
      </w:pPr>
      <w:r>
        <w:rPr>
          <w:rFonts w:ascii="Tahoma" w:hAnsi="Tahoma" w:cs="Tahoma"/>
          <w:b/>
        </w:rPr>
        <w:t xml:space="preserve">What is </w:t>
      </w:r>
      <w:r w:rsidR="00AD22A7" w:rsidRPr="001779C6">
        <w:rPr>
          <w:rFonts w:ascii="Tahoma" w:hAnsi="Tahoma" w:cs="Tahoma"/>
          <w:b/>
        </w:rPr>
        <w:t>Program R</w:t>
      </w:r>
      <w:r w:rsidR="002B02F3" w:rsidRPr="001779C6">
        <w:rPr>
          <w:rFonts w:ascii="Tahoma" w:hAnsi="Tahoma" w:cs="Tahoma"/>
          <w:b/>
        </w:rPr>
        <w:t>eview?</w:t>
      </w:r>
    </w:p>
    <w:p w:rsidR="002B02F3" w:rsidRPr="009C73DE" w:rsidRDefault="002B02F3">
      <w:pPr>
        <w:rPr>
          <w:rFonts w:ascii="Tahoma" w:hAnsi="Tahoma" w:cs="Tahoma"/>
          <w:sz w:val="12"/>
          <w:szCs w:val="12"/>
        </w:rPr>
      </w:pPr>
    </w:p>
    <w:p w:rsidR="000F0550" w:rsidRDefault="000F0550">
      <w:pPr>
        <w:rPr>
          <w:rFonts w:ascii="Tahoma" w:hAnsi="Tahoma"/>
          <w:sz w:val="21"/>
          <w:szCs w:val="23"/>
        </w:rPr>
      </w:pPr>
      <w:r w:rsidRPr="000F0550">
        <w:rPr>
          <w:rFonts w:ascii="Tahoma" w:hAnsi="Tahoma"/>
          <w:sz w:val="21"/>
          <w:szCs w:val="23"/>
        </w:rPr>
        <w:t>Program review is a formal, periodic process for evaluating and enhancing the quality and currency of academic programs.  It is designed to foster program improvement through in-depth self-study</w:t>
      </w:r>
      <w:r w:rsidR="00683ABA">
        <w:rPr>
          <w:rFonts w:ascii="Tahoma" w:hAnsi="Tahoma"/>
          <w:sz w:val="21"/>
          <w:szCs w:val="23"/>
        </w:rPr>
        <w:t>, including reflection on evidence of student learning</w:t>
      </w:r>
      <w:r w:rsidRPr="000F0550">
        <w:rPr>
          <w:rFonts w:ascii="Tahoma" w:hAnsi="Tahoma"/>
          <w:sz w:val="21"/>
          <w:szCs w:val="23"/>
        </w:rPr>
        <w:t xml:space="preserve">, external review, and specific plans for improvement. </w:t>
      </w:r>
    </w:p>
    <w:p w:rsidR="000F0550" w:rsidRPr="00935E4F" w:rsidRDefault="000F0550">
      <w:pPr>
        <w:rPr>
          <w:rFonts w:ascii="Tahoma" w:hAnsi="Tahoma"/>
        </w:rPr>
      </w:pPr>
    </w:p>
    <w:p w:rsidR="002B02F3" w:rsidRPr="001779C6" w:rsidRDefault="002B02F3">
      <w:pPr>
        <w:rPr>
          <w:rFonts w:ascii="Tahoma" w:hAnsi="Tahoma" w:cs="Tahoma"/>
          <w:b/>
        </w:rPr>
      </w:pPr>
      <w:r w:rsidRPr="001779C6">
        <w:rPr>
          <w:rFonts w:ascii="Tahoma" w:hAnsi="Tahoma" w:cs="Tahoma"/>
          <w:b/>
        </w:rPr>
        <w:t>Key Features and Benefits</w:t>
      </w:r>
    </w:p>
    <w:p w:rsidR="00AD22A7" w:rsidRPr="009C73DE" w:rsidRDefault="00AD22A7">
      <w:pPr>
        <w:rPr>
          <w:rFonts w:ascii="Tahoma" w:hAnsi="Tahoma" w:cs="Tahoma"/>
          <w:sz w:val="12"/>
          <w:szCs w:val="12"/>
        </w:rPr>
      </w:pPr>
    </w:p>
    <w:p w:rsidR="00AD22A7" w:rsidRPr="008A66BE" w:rsidRDefault="00683ABA" w:rsidP="00AD22A7">
      <w:pPr>
        <w:rPr>
          <w:rFonts w:ascii="Tahoma" w:hAnsi="Tahoma" w:cs="Tahoma"/>
          <w:sz w:val="21"/>
          <w:szCs w:val="22"/>
        </w:rPr>
      </w:pPr>
      <w:r>
        <w:rPr>
          <w:rFonts w:ascii="Tahoma" w:hAnsi="Tahoma" w:cs="Tahoma"/>
          <w:sz w:val="21"/>
          <w:szCs w:val="22"/>
        </w:rPr>
        <w:t xml:space="preserve">The </w:t>
      </w:r>
      <w:r w:rsidR="00AD22A7" w:rsidRPr="008A66BE">
        <w:rPr>
          <w:rFonts w:ascii="Tahoma" w:hAnsi="Tahoma" w:cs="Tahoma"/>
          <w:sz w:val="21"/>
          <w:szCs w:val="22"/>
        </w:rPr>
        <w:t>program review guidelines were developed by LMU’s Academic Planning and Rev</w:t>
      </w:r>
      <w:r w:rsidR="00703B22" w:rsidRPr="008A66BE">
        <w:rPr>
          <w:rFonts w:ascii="Tahoma" w:hAnsi="Tahoma" w:cs="Tahoma"/>
          <w:sz w:val="21"/>
          <w:szCs w:val="22"/>
        </w:rPr>
        <w:t>iew Committee (APRC)</w:t>
      </w:r>
      <w:r w:rsidR="00AD22A7" w:rsidRPr="008A66BE">
        <w:rPr>
          <w:rFonts w:ascii="Tahoma" w:hAnsi="Tahoma" w:cs="Tahoma"/>
          <w:sz w:val="21"/>
          <w:szCs w:val="22"/>
        </w:rPr>
        <w:t>.</w:t>
      </w:r>
    </w:p>
    <w:p w:rsidR="00AD22A7" w:rsidRPr="008A4BEE" w:rsidRDefault="00AD22A7">
      <w:pPr>
        <w:rPr>
          <w:rFonts w:ascii="Tahoma" w:hAnsi="Tahoma" w:cs="Tahoma"/>
          <w:sz w:val="16"/>
          <w:szCs w:val="16"/>
        </w:rPr>
      </w:pPr>
    </w:p>
    <w:p w:rsidR="001A7E38" w:rsidRPr="008A66BE" w:rsidRDefault="00A44D19">
      <w:pPr>
        <w:rPr>
          <w:rFonts w:ascii="Tahoma" w:hAnsi="Tahoma" w:cs="Tahoma"/>
          <w:sz w:val="21"/>
          <w:szCs w:val="22"/>
        </w:rPr>
      </w:pPr>
      <w:r w:rsidRPr="008A66BE">
        <w:rPr>
          <w:rFonts w:ascii="Tahoma" w:hAnsi="Tahoma" w:cs="Tahoma"/>
          <w:sz w:val="21"/>
          <w:szCs w:val="22"/>
        </w:rPr>
        <w:t>Under these guidelines, the process</w:t>
      </w:r>
      <w:r w:rsidR="001A7E38" w:rsidRPr="008A66BE">
        <w:rPr>
          <w:rFonts w:ascii="Tahoma" w:hAnsi="Tahoma" w:cs="Tahoma"/>
          <w:sz w:val="21"/>
          <w:szCs w:val="22"/>
        </w:rPr>
        <w:t>:</w:t>
      </w:r>
    </w:p>
    <w:p w:rsidR="002B02F3" w:rsidRPr="008A66BE" w:rsidRDefault="00A44D19" w:rsidP="002B02F3">
      <w:pPr>
        <w:numPr>
          <w:ilvl w:val="0"/>
          <w:numId w:val="1"/>
        </w:numPr>
        <w:rPr>
          <w:rFonts w:ascii="Tahoma" w:hAnsi="Tahoma" w:cs="Tahoma"/>
          <w:sz w:val="21"/>
          <w:szCs w:val="22"/>
        </w:rPr>
      </w:pPr>
      <w:r w:rsidRPr="008A66BE">
        <w:rPr>
          <w:rFonts w:ascii="Tahoma" w:hAnsi="Tahoma" w:cs="Tahoma"/>
          <w:sz w:val="21"/>
          <w:szCs w:val="22"/>
        </w:rPr>
        <w:t>Is</w:t>
      </w:r>
      <w:r w:rsidR="00BE7DCE" w:rsidRPr="008A66BE">
        <w:rPr>
          <w:rFonts w:ascii="Tahoma" w:hAnsi="Tahoma" w:cs="Tahoma"/>
          <w:sz w:val="21"/>
          <w:szCs w:val="22"/>
        </w:rPr>
        <w:t xml:space="preserve"> </w:t>
      </w:r>
      <w:r w:rsidRPr="008A66BE">
        <w:rPr>
          <w:rFonts w:ascii="Tahoma" w:hAnsi="Tahoma" w:cs="Tahoma"/>
          <w:sz w:val="21"/>
          <w:szCs w:val="22"/>
        </w:rPr>
        <w:t xml:space="preserve">designed to </w:t>
      </w:r>
      <w:r w:rsidR="009C73DE" w:rsidRPr="008A66BE">
        <w:rPr>
          <w:rFonts w:ascii="Tahoma" w:hAnsi="Tahoma" w:cs="Tahoma"/>
          <w:sz w:val="21"/>
          <w:szCs w:val="22"/>
        </w:rPr>
        <w:t xml:space="preserve">be </w:t>
      </w:r>
      <w:r w:rsidR="00040C17">
        <w:rPr>
          <w:rFonts w:ascii="Tahoma" w:hAnsi="Tahoma" w:cs="Tahoma"/>
          <w:sz w:val="21"/>
          <w:szCs w:val="22"/>
        </w:rPr>
        <w:t xml:space="preserve">meaningful and </w:t>
      </w:r>
      <w:r w:rsidRPr="008A66BE">
        <w:rPr>
          <w:rFonts w:ascii="Tahoma" w:hAnsi="Tahoma" w:cs="Tahoma"/>
          <w:sz w:val="21"/>
          <w:szCs w:val="22"/>
        </w:rPr>
        <w:t>flexible; that is, it is guided by the unique goals and circumstances of each department.</w:t>
      </w:r>
    </w:p>
    <w:p w:rsidR="005F52D2" w:rsidRPr="00935E4F" w:rsidRDefault="005F52D2" w:rsidP="005F52D2">
      <w:pPr>
        <w:ind w:left="1080"/>
        <w:rPr>
          <w:rFonts w:ascii="Tahoma" w:hAnsi="Tahoma" w:cs="Tahoma"/>
          <w:sz w:val="10"/>
          <w:szCs w:val="8"/>
        </w:rPr>
      </w:pPr>
    </w:p>
    <w:p w:rsidR="002B02F3" w:rsidRPr="008A66BE" w:rsidRDefault="002B02F3" w:rsidP="002B02F3">
      <w:pPr>
        <w:numPr>
          <w:ilvl w:val="0"/>
          <w:numId w:val="1"/>
        </w:numPr>
        <w:rPr>
          <w:rFonts w:ascii="Tahoma" w:hAnsi="Tahoma" w:cs="Tahoma"/>
          <w:sz w:val="21"/>
          <w:szCs w:val="22"/>
        </w:rPr>
      </w:pPr>
      <w:r w:rsidRPr="008A66BE">
        <w:rPr>
          <w:rFonts w:ascii="Tahoma" w:hAnsi="Tahoma" w:cs="Tahoma"/>
          <w:sz w:val="21"/>
          <w:szCs w:val="22"/>
        </w:rPr>
        <w:t>Looks at outcomes, not just inputs and processes</w:t>
      </w:r>
      <w:r w:rsidR="00B80111" w:rsidRPr="008A66BE">
        <w:rPr>
          <w:rFonts w:ascii="Tahoma" w:hAnsi="Tahoma" w:cs="Tahoma"/>
          <w:sz w:val="21"/>
          <w:szCs w:val="22"/>
        </w:rPr>
        <w:t>.</w:t>
      </w:r>
    </w:p>
    <w:p w:rsidR="005F52D2" w:rsidRPr="00935E4F" w:rsidRDefault="005F52D2" w:rsidP="005F52D2">
      <w:pPr>
        <w:ind w:left="360"/>
        <w:rPr>
          <w:rFonts w:ascii="Tahoma" w:hAnsi="Tahoma" w:cs="Tahoma"/>
          <w:sz w:val="10"/>
          <w:szCs w:val="8"/>
        </w:rPr>
      </w:pPr>
    </w:p>
    <w:p w:rsidR="00F22FD9" w:rsidRPr="008A66BE" w:rsidRDefault="002B02F3" w:rsidP="002B02F3">
      <w:pPr>
        <w:numPr>
          <w:ilvl w:val="0"/>
          <w:numId w:val="1"/>
        </w:numPr>
        <w:rPr>
          <w:rFonts w:ascii="Tahoma" w:hAnsi="Tahoma" w:cs="Tahoma"/>
          <w:sz w:val="21"/>
          <w:szCs w:val="22"/>
        </w:rPr>
      </w:pPr>
      <w:r w:rsidRPr="008A66BE">
        <w:rPr>
          <w:rFonts w:ascii="Tahoma" w:hAnsi="Tahoma" w:cs="Tahoma"/>
          <w:sz w:val="21"/>
          <w:szCs w:val="22"/>
        </w:rPr>
        <w:t>Builds o</w:t>
      </w:r>
      <w:r w:rsidR="00F22FD9" w:rsidRPr="008A66BE">
        <w:rPr>
          <w:rFonts w:ascii="Tahoma" w:hAnsi="Tahoma" w:cs="Tahoma"/>
          <w:sz w:val="21"/>
          <w:szCs w:val="22"/>
        </w:rPr>
        <w:t>n existing assessment processes</w:t>
      </w:r>
      <w:r w:rsidR="008E17AE">
        <w:rPr>
          <w:rFonts w:ascii="Tahoma" w:hAnsi="Tahoma" w:cs="Tahoma"/>
          <w:sz w:val="21"/>
          <w:szCs w:val="22"/>
        </w:rPr>
        <w:t>.</w:t>
      </w:r>
    </w:p>
    <w:p w:rsidR="005F52D2" w:rsidRPr="00935E4F" w:rsidRDefault="005F52D2" w:rsidP="005F52D2">
      <w:pPr>
        <w:ind w:left="1080"/>
        <w:rPr>
          <w:rFonts w:ascii="Tahoma" w:hAnsi="Tahoma" w:cs="Tahoma"/>
          <w:sz w:val="10"/>
          <w:szCs w:val="8"/>
        </w:rPr>
      </w:pPr>
    </w:p>
    <w:p w:rsidR="00B53830" w:rsidRPr="008A66BE" w:rsidRDefault="00B53830" w:rsidP="002B02F3">
      <w:pPr>
        <w:numPr>
          <w:ilvl w:val="0"/>
          <w:numId w:val="1"/>
        </w:numPr>
        <w:rPr>
          <w:rFonts w:ascii="Tahoma" w:hAnsi="Tahoma" w:cs="Tahoma"/>
          <w:sz w:val="21"/>
          <w:szCs w:val="22"/>
        </w:rPr>
      </w:pPr>
      <w:r w:rsidRPr="008A66BE">
        <w:rPr>
          <w:rFonts w:ascii="Tahoma" w:hAnsi="Tahoma" w:cs="Tahoma"/>
          <w:sz w:val="21"/>
          <w:szCs w:val="22"/>
        </w:rPr>
        <w:t>Engages the involvement of faculty, administrators, alumni, and students.</w:t>
      </w:r>
    </w:p>
    <w:p w:rsidR="008D6E49" w:rsidRPr="00935E4F" w:rsidRDefault="008D6E49" w:rsidP="008D6E49">
      <w:pPr>
        <w:rPr>
          <w:rFonts w:ascii="Tahoma" w:hAnsi="Tahoma" w:cs="Tahoma"/>
          <w:sz w:val="10"/>
          <w:szCs w:val="8"/>
        </w:rPr>
      </w:pPr>
    </w:p>
    <w:p w:rsidR="00935E4F" w:rsidRDefault="00935E4F" w:rsidP="002B02F3">
      <w:pPr>
        <w:numPr>
          <w:ilvl w:val="0"/>
          <w:numId w:val="1"/>
        </w:numPr>
        <w:rPr>
          <w:rFonts w:ascii="Tahoma" w:hAnsi="Tahoma" w:cs="Tahoma"/>
          <w:sz w:val="21"/>
          <w:szCs w:val="22"/>
        </w:rPr>
      </w:pPr>
      <w:r>
        <w:rPr>
          <w:rFonts w:ascii="Tahoma" w:hAnsi="Tahoma" w:cs="Tahoma"/>
          <w:sz w:val="21"/>
          <w:szCs w:val="22"/>
        </w:rPr>
        <w:t>Includes external benchmarks</w:t>
      </w:r>
    </w:p>
    <w:p w:rsidR="00935E4F" w:rsidRPr="00935E4F" w:rsidRDefault="00935E4F" w:rsidP="00935E4F">
      <w:pPr>
        <w:pStyle w:val="ListParagraph"/>
        <w:rPr>
          <w:rFonts w:ascii="Tahoma" w:hAnsi="Tahoma" w:cs="Tahoma"/>
          <w:sz w:val="10"/>
          <w:szCs w:val="22"/>
        </w:rPr>
      </w:pPr>
    </w:p>
    <w:p w:rsidR="003034EE" w:rsidRDefault="003034EE" w:rsidP="002B02F3">
      <w:pPr>
        <w:numPr>
          <w:ilvl w:val="0"/>
          <w:numId w:val="1"/>
        </w:numPr>
        <w:rPr>
          <w:rFonts w:ascii="Tahoma" w:hAnsi="Tahoma" w:cs="Tahoma"/>
          <w:sz w:val="21"/>
          <w:szCs w:val="22"/>
        </w:rPr>
      </w:pPr>
      <w:r>
        <w:rPr>
          <w:rFonts w:ascii="Tahoma" w:hAnsi="Tahoma" w:cs="Tahoma"/>
          <w:sz w:val="21"/>
          <w:szCs w:val="22"/>
        </w:rPr>
        <w:t>Focuses on program improvement</w:t>
      </w:r>
    </w:p>
    <w:p w:rsidR="001A7E38" w:rsidRPr="00935E4F" w:rsidRDefault="001A7E38" w:rsidP="001A7E38">
      <w:pPr>
        <w:rPr>
          <w:rFonts w:ascii="Tahoma" w:hAnsi="Tahoma" w:cs="Tahoma"/>
        </w:rPr>
      </w:pPr>
    </w:p>
    <w:p w:rsidR="001A7E38" w:rsidRPr="00010577" w:rsidRDefault="00B82711" w:rsidP="001A7E38">
      <w:pPr>
        <w:rPr>
          <w:rFonts w:ascii="Tahoma" w:hAnsi="Tahoma" w:cs="Tahoma"/>
          <w:b/>
        </w:rPr>
      </w:pPr>
      <w:r w:rsidRPr="00010577">
        <w:rPr>
          <w:rFonts w:ascii="Tahoma" w:hAnsi="Tahoma" w:cs="Tahoma"/>
          <w:b/>
        </w:rPr>
        <w:t xml:space="preserve">Main </w:t>
      </w:r>
      <w:r w:rsidR="00697DC0" w:rsidRPr="00010577">
        <w:rPr>
          <w:rFonts w:ascii="Tahoma" w:hAnsi="Tahoma" w:cs="Tahoma"/>
          <w:b/>
        </w:rPr>
        <w:t>Components</w:t>
      </w:r>
      <w:r w:rsidR="001A7E38" w:rsidRPr="00010577">
        <w:rPr>
          <w:rFonts w:ascii="Tahoma" w:hAnsi="Tahoma" w:cs="Tahoma"/>
          <w:b/>
        </w:rPr>
        <w:t xml:space="preserve"> of </w:t>
      </w:r>
      <w:r w:rsidR="005B4530" w:rsidRPr="00010577">
        <w:rPr>
          <w:rFonts w:ascii="Tahoma" w:hAnsi="Tahoma" w:cs="Tahoma"/>
          <w:b/>
        </w:rPr>
        <w:t xml:space="preserve">the </w:t>
      </w:r>
      <w:r w:rsidR="001A7E38" w:rsidRPr="00010577">
        <w:rPr>
          <w:rFonts w:ascii="Tahoma" w:hAnsi="Tahoma" w:cs="Tahoma"/>
          <w:b/>
        </w:rPr>
        <w:t>Review Process</w:t>
      </w:r>
    </w:p>
    <w:p w:rsidR="00952E19" w:rsidRPr="009C73DE" w:rsidRDefault="00952E19" w:rsidP="00952E19">
      <w:pPr>
        <w:ind w:left="360"/>
        <w:rPr>
          <w:rFonts w:ascii="Tahoma" w:hAnsi="Tahoma" w:cs="Tahoma"/>
          <w:sz w:val="12"/>
          <w:szCs w:val="12"/>
        </w:rPr>
      </w:pPr>
    </w:p>
    <w:p w:rsidR="001A7E38" w:rsidRPr="008A66BE" w:rsidRDefault="00A31A1F" w:rsidP="00E37079">
      <w:pPr>
        <w:numPr>
          <w:ilvl w:val="0"/>
          <w:numId w:val="9"/>
        </w:numPr>
        <w:rPr>
          <w:rFonts w:ascii="Tahoma" w:hAnsi="Tahoma" w:cs="Tahoma"/>
          <w:sz w:val="21"/>
          <w:szCs w:val="22"/>
        </w:rPr>
      </w:pPr>
      <w:r>
        <w:rPr>
          <w:rFonts w:ascii="Tahoma" w:hAnsi="Tahoma" w:cs="Tahoma"/>
          <w:sz w:val="21"/>
          <w:szCs w:val="22"/>
          <w:u w:val="single"/>
        </w:rPr>
        <w:t>Orientation</w:t>
      </w:r>
      <w:r>
        <w:rPr>
          <w:rFonts w:ascii="Tahoma" w:hAnsi="Tahoma" w:cs="Tahoma"/>
          <w:sz w:val="21"/>
          <w:szCs w:val="22"/>
        </w:rPr>
        <w:t xml:space="preserve"> – Learn</w:t>
      </w:r>
      <w:r w:rsidR="003E2A96" w:rsidRPr="008A66BE">
        <w:rPr>
          <w:rFonts w:ascii="Tahoma" w:hAnsi="Tahoma" w:cs="Tahoma"/>
          <w:sz w:val="21"/>
          <w:szCs w:val="22"/>
        </w:rPr>
        <w:t xml:space="preserve"> abo</w:t>
      </w:r>
      <w:r>
        <w:rPr>
          <w:rFonts w:ascii="Tahoma" w:hAnsi="Tahoma" w:cs="Tahoma"/>
          <w:sz w:val="21"/>
          <w:szCs w:val="22"/>
        </w:rPr>
        <w:t>ut process</w:t>
      </w:r>
    </w:p>
    <w:p w:rsidR="00B46FAC" w:rsidRPr="00A31A1F" w:rsidRDefault="00B46FAC" w:rsidP="00E37079">
      <w:pPr>
        <w:ind w:left="1080"/>
        <w:rPr>
          <w:rFonts w:ascii="Tahoma" w:hAnsi="Tahoma" w:cs="Tahoma"/>
          <w:sz w:val="12"/>
          <w:szCs w:val="8"/>
        </w:rPr>
      </w:pPr>
    </w:p>
    <w:p w:rsidR="001A7E38" w:rsidRPr="008A66BE" w:rsidRDefault="001A7E38" w:rsidP="00E37079">
      <w:pPr>
        <w:numPr>
          <w:ilvl w:val="0"/>
          <w:numId w:val="9"/>
        </w:numPr>
        <w:rPr>
          <w:rFonts w:ascii="Tahoma" w:hAnsi="Tahoma" w:cs="Tahoma"/>
          <w:sz w:val="21"/>
          <w:szCs w:val="23"/>
        </w:rPr>
      </w:pPr>
      <w:r w:rsidRPr="008A66BE">
        <w:rPr>
          <w:rFonts w:ascii="Tahoma" w:hAnsi="Tahoma" w:cs="Tahoma"/>
          <w:sz w:val="21"/>
          <w:szCs w:val="22"/>
          <w:u w:val="single"/>
        </w:rPr>
        <w:t>Self-Study Plan</w:t>
      </w:r>
      <w:r w:rsidR="003E2A96" w:rsidRPr="008A66BE">
        <w:rPr>
          <w:rFonts w:ascii="Tahoma" w:hAnsi="Tahoma" w:cs="Tahoma"/>
          <w:sz w:val="21"/>
          <w:szCs w:val="22"/>
        </w:rPr>
        <w:t xml:space="preserve"> – Context for review; </w:t>
      </w:r>
      <w:r w:rsidR="00570BAA">
        <w:rPr>
          <w:rFonts w:ascii="Tahoma" w:hAnsi="Tahoma" w:cs="Tahoma"/>
          <w:sz w:val="21"/>
          <w:szCs w:val="22"/>
        </w:rPr>
        <w:t>Research plan</w:t>
      </w:r>
    </w:p>
    <w:p w:rsidR="00B46FAC" w:rsidRPr="00A31A1F" w:rsidRDefault="00B46FAC" w:rsidP="00E37079">
      <w:pPr>
        <w:ind w:left="1080"/>
        <w:rPr>
          <w:rFonts w:ascii="Tahoma" w:hAnsi="Tahoma" w:cs="Tahoma"/>
          <w:sz w:val="12"/>
          <w:szCs w:val="8"/>
        </w:rPr>
      </w:pPr>
    </w:p>
    <w:p w:rsidR="001A7E38" w:rsidRPr="00C61ECF" w:rsidRDefault="001A7E38" w:rsidP="00E37079">
      <w:pPr>
        <w:numPr>
          <w:ilvl w:val="0"/>
          <w:numId w:val="9"/>
        </w:numPr>
        <w:ind w:right="-270"/>
        <w:rPr>
          <w:rFonts w:ascii="Tahoma" w:hAnsi="Tahoma" w:cs="Tahoma"/>
          <w:sz w:val="21"/>
          <w:szCs w:val="22"/>
        </w:rPr>
      </w:pPr>
      <w:r w:rsidRPr="00C61ECF">
        <w:rPr>
          <w:rFonts w:ascii="Tahoma" w:hAnsi="Tahoma" w:cs="Tahoma"/>
          <w:sz w:val="21"/>
          <w:szCs w:val="22"/>
          <w:u w:val="single"/>
        </w:rPr>
        <w:t>Self-Study Analysis</w:t>
      </w:r>
      <w:r w:rsidR="00C65E16" w:rsidRPr="00C61ECF">
        <w:rPr>
          <w:rFonts w:ascii="Tahoma" w:hAnsi="Tahoma" w:cs="Tahoma"/>
          <w:sz w:val="21"/>
          <w:szCs w:val="22"/>
          <w:u w:val="single"/>
        </w:rPr>
        <w:t xml:space="preserve"> and Report</w:t>
      </w:r>
      <w:r w:rsidR="003E2A96" w:rsidRPr="00C61ECF">
        <w:rPr>
          <w:rFonts w:ascii="Tahoma" w:hAnsi="Tahoma" w:cs="Tahoma"/>
          <w:sz w:val="21"/>
          <w:szCs w:val="22"/>
        </w:rPr>
        <w:t xml:space="preserve"> – Collect</w:t>
      </w:r>
      <w:r w:rsidR="00485C0D" w:rsidRPr="00C61ECF">
        <w:rPr>
          <w:rFonts w:ascii="Tahoma" w:hAnsi="Tahoma" w:cs="Tahoma"/>
          <w:sz w:val="21"/>
          <w:szCs w:val="22"/>
        </w:rPr>
        <w:t xml:space="preserve"> data;</w:t>
      </w:r>
      <w:r w:rsidR="00570BAA" w:rsidRPr="00C61ECF">
        <w:rPr>
          <w:rFonts w:ascii="Tahoma" w:hAnsi="Tahoma" w:cs="Tahoma"/>
          <w:sz w:val="21"/>
          <w:szCs w:val="22"/>
        </w:rPr>
        <w:t xml:space="preserve"> </w:t>
      </w:r>
      <w:r w:rsidR="003E2A96" w:rsidRPr="00C61ECF">
        <w:rPr>
          <w:rFonts w:ascii="Tahoma" w:hAnsi="Tahoma" w:cs="Tahoma"/>
          <w:sz w:val="21"/>
          <w:szCs w:val="22"/>
        </w:rPr>
        <w:t xml:space="preserve">analyze </w:t>
      </w:r>
      <w:r w:rsidR="00485C0D" w:rsidRPr="00C61ECF">
        <w:rPr>
          <w:rFonts w:ascii="Tahoma" w:hAnsi="Tahoma" w:cs="Tahoma"/>
          <w:sz w:val="21"/>
          <w:szCs w:val="22"/>
        </w:rPr>
        <w:t xml:space="preserve">and reflect on </w:t>
      </w:r>
      <w:r w:rsidR="00B91549" w:rsidRPr="00C61ECF">
        <w:rPr>
          <w:rFonts w:ascii="Tahoma" w:hAnsi="Tahoma" w:cs="Tahoma"/>
          <w:sz w:val="21"/>
          <w:szCs w:val="22"/>
        </w:rPr>
        <w:t>data; write report</w:t>
      </w:r>
    </w:p>
    <w:p w:rsidR="00B46FAC" w:rsidRPr="00C61ECF" w:rsidRDefault="00B46FAC" w:rsidP="00E37079">
      <w:pPr>
        <w:ind w:left="1080"/>
        <w:rPr>
          <w:rFonts w:ascii="Tahoma" w:hAnsi="Tahoma" w:cs="Tahoma"/>
          <w:sz w:val="12"/>
          <w:szCs w:val="8"/>
        </w:rPr>
      </w:pPr>
    </w:p>
    <w:p w:rsidR="001A7E38" w:rsidRPr="00C61ECF" w:rsidRDefault="001A7E38" w:rsidP="00E37079">
      <w:pPr>
        <w:numPr>
          <w:ilvl w:val="0"/>
          <w:numId w:val="9"/>
        </w:numPr>
        <w:rPr>
          <w:rFonts w:ascii="Tahoma" w:hAnsi="Tahoma" w:cs="Tahoma"/>
          <w:sz w:val="21"/>
          <w:szCs w:val="22"/>
          <w:u w:val="single"/>
        </w:rPr>
      </w:pPr>
      <w:r w:rsidRPr="00C61ECF">
        <w:rPr>
          <w:rFonts w:ascii="Tahoma" w:hAnsi="Tahoma" w:cs="Tahoma"/>
          <w:sz w:val="21"/>
          <w:szCs w:val="22"/>
          <w:u w:val="single"/>
        </w:rPr>
        <w:t>External Review</w:t>
      </w:r>
    </w:p>
    <w:p w:rsidR="00136041" w:rsidRPr="00C61ECF" w:rsidRDefault="00136041" w:rsidP="00E37079">
      <w:pPr>
        <w:rPr>
          <w:rFonts w:ascii="Tahoma" w:hAnsi="Tahoma" w:cs="Tahoma"/>
          <w:sz w:val="12"/>
          <w:szCs w:val="8"/>
        </w:rPr>
      </w:pPr>
    </w:p>
    <w:p w:rsidR="00136041" w:rsidRPr="00C61ECF" w:rsidRDefault="00D72D4E" w:rsidP="00E37079">
      <w:pPr>
        <w:numPr>
          <w:ilvl w:val="0"/>
          <w:numId w:val="9"/>
        </w:numPr>
        <w:rPr>
          <w:rFonts w:ascii="Tahoma" w:hAnsi="Tahoma" w:cs="Tahoma"/>
          <w:sz w:val="21"/>
          <w:szCs w:val="22"/>
        </w:rPr>
      </w:pPr>
      <w:r w:rsidRPr="00C61ECF">
        <w:rPr>
          <w:rFonts w:ascii="Tahoma" w:hAnsi="Tahoma" w:cs="Tahoma"/>
          <w:sz w:val="21"/>
          <w:szCs w:val="22"/>
          <w:u w:val="single"/>
        </w:rPr>
        <w:t>Memorandum of Understanding (MOU)</w:t>
      </w:r>
      <w:r w:rsidRPr="00C61ECF">
        <w:rPr>
          <w:rFonts w:ascii="Tahoma" w:hAnsi="Tahoma" w:cs="Tahoma"/>
          <w:sz w:val="21"/>
          <w:szCs w:val="22"/>
        </w:rPr>
        <w:t xml:space="preserve"> – </w:t>
      </w:r>
      <w:r w:rsidR="00485C0D" w:rsidRPr="00C61ECF">
        <w:rPr>
          <w:rFonts w:ascii="Tahoma" w:hAnsi="Tahoma" w:cs="Tahoma"/>
          <w:sz w:val="21"/>
          <w:szCs w:val="22"/>
        </w:rPr>
        <w:t xml:space="preserve">What </w:t>
      </w:r>
      <w:r w:rsidR="00D255DF" w:rsidRPr="00C61ECF">
        <w:rPr>
          <w:rFonts w:ascii="Tahoma" w:hAnsi="Tahoma" w:cs="Tahoma"/>
          <w:sz w:val="21"/>
          <w:szCs w:val="22"/>
        </w:rPr>
        <w:t xml:space="preserve">specific </w:t>
      </w:r>
      <w:r w:rsidR="00485C0D" w:rsidRPr="00C61ECF">
        <w:rPr>
          <w:rFonts w:ascii="Tahoma" w:hAnsi="Tahoma" w:cs="Tahoma"/>
          <w:sz w:val="21"/>
          <w:szCs w:val="22"/>
        </w:rPr>
        <w:t>actions need to be taken to improve the program?</w:t>
      </w:r>
      <w:r w:rsidR="00D255DF" w:rsidRPr="00C61ECF">
        <w:rPr>
          <w:rFonts w:ascii="Tahoma" w:hAnsi="Tahoma" w:cs="Tahoma"/>
          <w:sz w:val="21"/>
          <w:szCs w:val="22"/>
        </w:rPr>
        <w:t xml:space="preserve"> What is the timeline for those actions?</w:t>
      </w:r>
    </w:p>
    <w:p w:rsidR="001014F0" w:rsidRPr="00C61ECF" w:rsidRDefault="001014F0" w:rsidP="00E37079">
      <w:pPr>
        <w:rPr>
          <w:rFonts w:ascii="Tahoma" w:hAnsi="Tahoma" w:cs="Tahoma"/>
          <w:sz w:val="12"/>
          <w:szCs w:val="8"/>
        </w:rPr>
      </w:pPr>
    </w:p>
    <w:p w:rsidR="001014F0" w:rsidRPr="00C61ECF" w:rsidRDefault="00DB45A9" w:rsidP="00E37079">
      <w:pPr>
        <w:numPr>
          <w:ilvl w:val="0"/>
          <w:numId w:val="9"/>
        </w:numPr>
        <w:rPr>
          <w:rFonts w:ascii="Tahoma" w:hAnsi="Tahoma" w:cs="Tahoma"/>
          <w:sz w:val="21"/>
          <w:szCs w:val="22"/>
        </w:rPr>
      </w:pPr>
      <w:r w:rsidRPr="00C61ECF">
        <w:rPr>
          <w:rFonts w:ascii="Tahoma" w:hAnsi="Tahoma" w:cs="Tahoma"/>
          <w:sz w:val="21"/>
          <w:szCs w:val="22"/>
          <w:u w:val="single"/>
        </w:rPr>
        <w:t>Three-Year Follow-Up: Midcycle</w:t>
      </w:r>
      <w:r w:rsidR="001014F0" w:rsidRPr="00C61ECF">
        <w:rPr>
          <w:rFonts w:ascii="Tahoma" w:hAnsi="Tahoma" w:cs="Tahoma"/>
          <w:sz w:val="21"/>
          <w:szCs w:val="22"/>
          <w:u w:val="single"/>
        </w:rPr>
        <w:t xml:space="preserve"> Report</w:t>
      </w:r>
    </w:p>
    <w:p w:rsidR="00BF72B3" w:rsidRPr="00935E4F" w:rsidRDefault="00BF72B3" w:rsidP="00BF72B3">
      <w:pPr>
        <w:rPr>
          <w:rFonts w:ascii="Tahoma" w:hAnsi="Tahoma" w:cs="Tahoma"/>
        </w:rPr>
      </w:pPr>
    </w:p>
    <w:p w:rsidR="00BF72B3" w:rsidRPr="00D64365" w:rsidRDefault="00BF72B3" w:rsidP="00BF72B3">
      <w:pPr>
        <w:rPr>
          <w:rFonts w:ascii="Tahoma" w:hAnsi="Tahoma" w:cs="Tahoma"/>
          <w:b/>
          <w:sz w:val="26"/>
          <w:szCs w:val="26"/>
        </w:rPr>
      </w:pPr>
      <w:r w:rsidRPr="00D64365">
        <w:rPr>
          <w:rFonts w:ascii="Tahoma" w:hAnsi="Tahoma" w:cs="Tahoma"/>
          <w:b/>
          <w:sz w:val="26"/>
          <w:szCs w:val="26"/>
        </w:rPr>
        <w:t>Timeline</w:t>
      </w:r>
    </w:p>
    <w:p w:rsidR="00BF72B3" w:rsidRPr="00935E4F" w:rsidRDefault="00BF72B3" w:rsidP="00BF72B3">
      <w:pPr>
        <w:rPr>
          <w:rFonts w:ascii="Tahoma" w:hAnsi="Tahoma" w:cs="Tahoma"/>
          <w:sz w:val="10"/>
          <w:szCs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040"/>
      </w:tblGrid>
      <w:tr w:rsidR="004A4ED7" w:rsidTr="00891BF7">
        <w:trPr>
          <w:trHeight w:val="377"/>
        </w:trPr>
        <w:tc>
          <w:tcPr>
            <w:tcW w:w="4950" w:type="dxa"/>
            <w:shd w:val="clear" w:color="auto" w:fill="E0E0E0"/>
            <w:vAlign w:val="center"/>
          </w:tcPr>
          <w:p w:rsidR="004A4ED7" w:rsidRPr="00FF37C0" w:rsidRDefault="004A4ED7" w:rsidP="00FF37C0">
            <w:pPr>
              <w:jc w:val="center"/>
              <w:rPr>
                <w:rFonts w:ascii="Arial" w:hAnsi="Arial" w:cs="Arial"/>
                <w:b/>
                <w:sz w:val="22"/>
                <w:szCs w:val="22"/>
              </w:rPr>
            </w:pPr>
            <w:r w:rsidRPr="00FF37C0">
              <w:rPr>
                <w:rFonts w:ascii="Arial" w:hAnsi="Arial" w:cs="Arial"/>
                <w:b/>
                <w:sz w:val="22"/>
                <w:szCs w:val="22"/>
              </w:rPr>
              <w:t>SEMESTER 1</w:t>
            </w:r>
          </w:p>
        </w:tc>
        <w:tc>
          <w:tcPr>
            <w:tcW w:w="5040" w:type="dxa"/>
            <w:shd w:val="clear" w:color="auto" w:fill="E0E0E0"/>
            <w:vAlign w:val="center"/>
          </w:tcPr>
          <w:p w:rsidR="004A4ED7" w:rsidRPr="00FF37C0" w:rsidRDefault="004A4ED7" w:rsidP="00FF37C0">
            <w:pPr>
              <w:jc w:val="center"/>
              <w:rPr>
                <w:rFonts w:ascii="Arial" w:hAnsi="Arial" w:cs="Arial"/>
                <w:b/>
                <w:sz w:val="22"/>
                <w:szCs w:val="22"/>
              </w:rPr>
            </w:pPr>
            <w:r w:rsidRPr="00FF37C0">
              <w:rPr>
                <w:rFonts w:ascii="Arial" w:hAnsi="Arial" w:cs="Arial"/>
                <w:b/>
                <w:sz w:val="22"/>
                <w:szCs w:val="22"/>
              </w:rPr>
              <w:t>SEMESTER 2</w:t>
            </w:r>
          </w:p>
        </w:tc>
      </w:tr>
      <w:tr w:rsidR="004A4ED7" w:rsidTr="00935E4F">
        <w:trPr>
          <w:trHeight w:val="1412"/>
        </w:trPr>
        <w:tc>
          <w:tcPr>
            <w:tcW w:w="4950" w:type="dxa"/>
            <w:tcBorders>
              <w:bottom w:val="single" w:sz="4" w:space="0" w:color="auto"/>
            </w:tcBorders>
            <w:vAlign w:val="center"/>
          </w:tcPr>
          <w:p w:rsidR="004A4ED7" w:rsidRPr="00891BF7" w:rsidRDefault="004A4ED7" w:rsidP="00045A14">
            <w:pPr>
              <w:numPr>
                <w:ilvl w:val="0"/>
                <w:numId w:val="2"/>
              </w:numPr>
              <w:tabs>
                <w:tab w:val="clear" w:pos="780"/>
                <w:tab w:val="num" w:pos="360"/>
              </w:tabs>
              <w:ind w:left="360" w:hanging="288"/>
              <w:rPr>
                <w:rFonts w:ascii="Arial" w:hAnsi="Arial" w:cs="Arial"/>
                <w:sz w:val="21"/>
                <w:szCs w:val="22"/>
              </w:rPr>
            </w:pPr>
            <w:r w:rsidRPr="00891BF7">
              <w:rPr>
                <w:rFonts w:ascii="Arial" w:hAnsi="Arial" w:cs="Arial"/>
                <w:sz w:val="21"/>
                <w:szCs w:val="22"/>
              </w:rPr>
              <w:t>Orientation</w:t>
            </w:r>
            <w:r w:rsidR="003E2A96" w:rsidRPr="00891BF7">
              <w:rPr>
                <w:rFonts w:ascii="Arial" w:hAnsi="Arial" w:cs="Arial"/>
                <w:sz w:val="21"/>
                <w:szCs w:val="22"/>
              </w:rPr>
              <w:t xml:space="preserve"> workshop</w:t>
            </w:r>
          </w:p>
          <w:p w:rsidR="004A4ED7" w:rsidRPr="00891BF7" w:rsidRDefault="004A4ED7" w:rsidP="00045A14">
            <w:pPr>
              <w:numPr>
                <w:ilvl w:val="0"/>
                <w:numId w:val="2"/>
              </w:numPr>
              <w:tabs>
                <w:tab w:val="clear" w:pos="780"/>
                <w:tab w:val="num" w:pos="360"/>
              </w:tabs>
              <w:ind w:left="360" w:hanging="288"/>
              <w:rPr>
                <w:rFonts w:ascii="Arial" w:hAnsi="Arial" w:cs="Arial"/>
                <w:sz w:val="21"/>
                <w:szCs w:val="22"/>
              </w:rPr>
            </w:pPr>
            <w:r w:rsidRPr="00891BF7">
              <w:rPr>
                <w:rFonts w:ascii="Arial" w:hAnsi="Arial" w:cs="Arial"/>
                <w:sz w:val="21"/>
                <w:szCs w:val="22"/>
              </w:rPr>
              <w:t>Formulation of self-study plan</w:t>
            </w:r>
          </w:p>
          <w:p w:rsidR="00703B22" w:rsidRPr="00891BF7" w:rsidRDefault="00D56B82" w:rsidP="00045A14">
            <w:pPr>
              <w:numPr>
                <w:ilvl w:val="0"/>
                <w:numId w:val="2"/>
              </w:numPr>
              <w:tabs>
                <w:tab w:val="clear" w:pos="780"/>
                <w:tab w:val="num" w:pos="360"/>
              </w:tabs>
              <w:ind w:left="360" w:hanging="288"/>
              <w:rPr>
                <w:rFonts w:ascii="Arial" w:hAnsi="Arial" w:cs="Arial"/>
                <w:sz w:val="21"/>
                <w:szCs w:val="22"/>
              </w:rPr>
            </w:pPr>
            <w:r w:rsidRPr="00891BF7">
              <w:rPr>
                <w:rFonts w:ascii="Arial" w:hAnsi="Arial" w:cs="Arial"/>
                <w:sz w:val="21"/>
                <w:szCs w:val="22"/>
              </w:rPr>
              <w:t>APRC feedback on</w:t>
            </w:r>
            <w:r w:rsidR="00703B22" w:rsidRPr="00891BF7">
              <w:rPr>
                <w:rFonts w:ascii="Arial" w:hAnsi="Arial" w:cs="Arial"/>
                <w:sz w:val="21"/>
                <w:szCs w:val="22"/>
              </w:rPr>
              <w:t xml:space="preserve"> plan</w:t>
            </w:r>
          </w:p>
          <w:p w:rsidR="004A4ED7" w:rsidRPr="00891BF7" w:rsidRDefault="004A4ED7" w:rsidP="00045A14">
            <w:pPr>
              <w:numPr>
                <w:ilvl w:val="0"/>
                <w:numId w:val="2"/>
              </w:numPr>
              <w:tabs>
                <w:tab w:val="clear" w:pos="780"/>
                <w:tab w:val="num" w:pos="360"/>
              </w:tabs>
              <w:ind w:left="360" w:hanging="288"/>
              <w:rPr>
                <w:rFonts w:ascii="Arial" w:hAnsi="Arial" w:cs="Arial"/>
                <w:sz w:val="21"/>
                <w:szCs w:val="22"/>
              </w:rPr>
            </w:pPr>
            <w:r w:rsidRPr="00891BF7">
              <w:rPr>
                <w:rFonts w:ascii="Arial" w:hAnsi="Arial" w:cs="Arial"/>
                <w:sz w:val="21"/>
                <w:szCs w:val="22"/>
              </w:rPr>
              <w:t>Dean’s approval of plan</w:t>
            </w:r>
          </w:p>
        </w:tc>
        <w:tc>
          <w:tcPr>
            <w:tcW w:w="5040" w:type="dxa"/>
            <w:tcBorders>
              <w:bottom w:val="single" w:sz="4" w:space="0" w:color="auto"/>
            </w:tcBorders>
            <w:vAlign w:val="center"/>
          </w:tcPr>
          <w:p w:rsidR="00C401A3" w:rsidRPr="00891BF7" w:rsidRDefault="00C401A3" w:rsidP="000D7F3F">
            <w:pPr>
              <w:numPr>
                <w:ilvl w:val="0"/>
                <w:numId w:val="2"/>
              </w:numPr>
              <w:tabs>
                <w:tab w:val="clear" w:pos="780"/>
                <w:tab w:val="num" w:pos="360"/>
              </w:tabs>
              <w:ind w:left="360" w:hanging="306"/>
              <w:rPr>
                <w:rFonts w:ascii="Arial" w:hAnsi="Arial" w:cs="Arial"/>
                <w:sz w:val="21"/>
                <w:szCs w:val="22"/>
              </w:rPr>
            </w:pPr>
            <w:r w:rsidRPr="00891BF7">
              <w:rPr>
                <w:rFonts w:ascii="Arial" w:hAnsi="Arial" w:cs="Arial"/>
                <w:sz w:val="21"/>
                <w:szCs w:val="22"/>
              </w:rPr>
              <w:t>Data collection</w:t>
            </w:r>
          </w:p>
          <w:p w:rsidR="00C401A3" w:rsidRPr="00891BF7" w:rsidRDefault="00C401A3" w:rsidP="000D7F3F">
            <w:pPr>
              <w:numPr>
                <w:ilvl w:val="0"/>
                <w:numId w:val="2"/>
              </w:numPr>
              <w:tabs>
                <w:tab w:val="clear" w:pos="780"/>
                <w:tab w:val="num" w:pos="360"/>
              </w:tabs>
              <w:ind w:left="360" w:hanging="306"/>
              <w:rPr>
                <w:rFonts w:ascii="Arial" w:hAnsi="Arial" w:cs="Arial"/>
                <w:sz w:val="21"/>
                <w:szCs w:val="22"/>
              </w:rPr>
            </w:pPr>
            <w:r w:rsidRPr="00891BF7">
              <w:rPr>
                <w:rFonts w:ascii="Arial" w:hAnsi="Arial" w:cs="Arial"/>
                <w:sz w:val="21"/>
                <w:szCs w:val="22"/>
              </w:rPr>
              <w:t>Analysis of/reflection on data</w:t>
            </w:r>
          </w:p>
          <w:p w:rsidR="00C401A3" w:rsidRPr="00891BF7" w:rsidRDefault="00C7469D" w:rsidP="000D7F3F">
            <w:pPr>
              <w:numPr>
                <w:ilvl w:val="0"/>
                <w:numId w:val="2"/>
              </w:numPr>
              <w:tabs>
                <w:tab w:val="clear" w:pos="780"/>
                <w:tab w:val="num" w:pos="360"/>
              </w:tabs>
              <w:ind w:left="360" w:hanging="306"/>
              <w:rPr>
                <w:rFonts w:ascii="Arial" w:hAnsi="Arial" w:cs="Arial"/>
                <w:sz w:val="21"/>
                <w:szCs w:val="22"/>
              </w:rPr>
            </w:pPr>
            <w:r w:rsidRPr="00891BF7">
              <w:rPr>
                <w:rFonts w:ascii="Arial" w:hAnsi="Arial" w:cs="Arial"/>
                <w:sz w:val="21"/>
                <w:szCs w:val="22"/>
              </w:rPr>
              <w:t>Self-study Analysis report</w:t>
            </w:r>
          </w:p>
          <w:p w:rsidR="00C7469D" w:rsidRPr="00891BF7" w:rsidRDefault="00C7469D" w:rsidP="000D7F3F">
            <w:pPr>
              <w:numPr>
                <w:ilvl w:val="0"/>
                <w:numId w:val="2"/>
              </w:numPr>
              <w:tabs>
                <w:tab w:val="clear" w:pos="780"/>
                <w:tab w:val="num" w:pos="360"/>
              </w:tabs>
              <w:ind w:left="360" w:hanging="306"/>
              <w:rPr>
                <w:rFonts w:ascii="Arial" w:hAnsi="Arial" w:cs="Arial"/>
                <w:sz w:val="21"/>
                <w:szCs w:val="22"/>
              </w:rPr>
            </w:pPr>
            <w:r w:rsidRPr="00891BF7">
              <w:rPr>
                <w:rFonts w:ascii="Arial" w:hAnsi="Arial" w:cs="Arial"/>
                <w:sz w:val="21"/>
                <w:szCs w:val="22"/>
              </w:rPr>
              <w:t>APRC feedback on report</w:t>
            </w:r>
          </w:p>
          <w:p w:rsidR="004A4ED7" w:rsidRPr="00891BF7" w:rsidRDefault="00C401A3" w:rsidP="000D7F3F">
            <w:pPr>
              <w:numPr>
                <w:ilvl w:val="0"/>
                <w:numId w:val="2"/>
              </w:numPr>
              <w:tabs>
                <w:tab w:val="clear" w:pos="780"/>
                <w:tab w:val="num" w:pos="360"/>
              </w:tabs>
              <w:ind w:left="360" w:hanging="306"/>
              <w:rPr>
                <w:rFonts w:ascii="Arial" w:hAnsi="Arial" w:cs="Arial"/>
                <w:sz w:val="21"/>
                <w:szCs w:val="22"/>
              </w:rPr>
            </w:pPr>
            <w:r w:rsidRPr="00891BF7">
              <w:rPr>
                <w:rFonts w:ascii="Arial" w:hAnsi="Arial" w:cs="Arial"/>
                <w:sz w:val="21"/>
                <w:szCs w:val="22"/>
              </w:rPr>
              <w:t>Dean’s approval of report</w:t>
            </w:r>
          </w:p>
        </w:tc>
      </w:tr>
      <w:tr w:rsidR="004A4ED7" w:rsidTr="00891BF7">
        <w:trPr>
          <w:trHeight w:val="404"/>
        </w:trPr>
        <w:tc>
          <w:tcPr>
            <w:tcW w:w="4950" w:type="dxa"/>
            <w:shd w:val="clear" w:color="auto" w:fill="E0E0E0"/>
            <w:vAlign w:val="center"/>
          </w:tcPr>
          <w:p w:rsidR="004A4ED7" w:rsidRPr="00FF37C0" w:rsidRDefault="004A4ED7" w:rsidP="00FF37C0">
            <w:pPr>
              <w:jc w:val="center"/>
              <w:rPr>
                <w:rFonts w:ascii="Arial" w:hAnsi="Arial" w:cs="Arial"/>
                <w:b/>
                <w:sz w:val="22"/>
                <w:szCs w:val="22"/>
              </w:rPr>
            </w:pPr>
            <w:r w:rsidRPr="00FF37C0">
              <w:rPr>
                <w:rFonts w:ascii="Arial" w:hAnsi="Arial" w:cs="Arial"/>
                <w:b/>
                <w:sz w:val="22"/>
                <w:szCs w:val="22"/>
              </w:rPr>
              <w:t>SEMESTER 3</w:t>
            </w:r>
          </w:p>
        </w:tc>
        <w:tc>
          <w:tcPr>
            <w:tcW w:w="5040" w:type="dxa"/>
            <w:shd w:val="clear" w:color="auto" w:fill="E0E0E0"/>
            <w:vAlign w:val="center"/>
          </w:tcPr>
          <w:p w:rsidR="004A4ED7" w:rsidRPr="00FF37C0" w:rsidRDefault="004A4ED7" w:rsidP="00FF37C0">
            <w:pPr>
              <w:jc w:val="center"/>
              <w:rPr>
                <w:rFonts w:ascii="Arial" w:hAnsi="Arial" w:cs="Arial"/>
                <w:b/>
                <w:sz w:val="22"/>
                <w:szCs w:val="22"/>
              </w:rPr>
            </w:pPr>
            <w:r w:rsidRPr="00FF37C0">
              <w:rPr>
                <w:rFonts w:ascii="Arial" w:hAnsi="Arial" w:cs="Arial"/>
                <w:b/>
                <w:sz w:val="22"/>
                <w:szCs w:val="22"/>
              </w:rPr>
              <w:t>SEMESTER 4</w:t>
            </w:r>
          </w:p>
        </w:tc>
      </w:tr>
      <w:tr w:rsidR="004B4228" w:rsidTr="00891BF7">
        <w:trPr>
          <w:trHeight w:val="1565"/>
        </w:trPr>
        <w:tc>
          <w:tcPr>
            <w:tcW w:w="4950" w:type="dxa"/>
            <w:vAlign w:val="center"/>
          </w:tcPr>
          <w:p w:rsidR="004B4228" w:rsidRPr="00891BF7" w:rsidRDefault="004B4228" w:rsidP="00045A14">
            <w:pPr>
              <w:numPr>
                <w:ilvl w:val="0"/>
                <w:numId w:val="2"/>
              </w:numPr>
              <w:tabs>
                <w:tab w:val="clear" w:pos="780"/>
                <w:tab w:val="num" w:pos="360"/>
              </w:tabs>
              <w:ind w:left="360" w:hanging="288"/>
              <w:rPr>
                <w:rFonts w:ascii="Arial" w:hAnsi="Arial" w:cs="Arial"/>
                <w:sz w:val="21"/>
                <w:szCs w:val="22"/>
              </w:rPr>
            </w:pPr>
            <w:r w:rsidRPr="00891BF7">
              <w:rPr>
                <w:rFonts w:ascii="Arial" w:hAnsi="Arial" w:cs="Arial"/>
                <w:sz w:val="21"/>
                <w:szCs w:val="22"/>
              </w:rPr>
              <w:t>External review team visit</w:t>
            </w:r>
          </w:p>
          <w:p w:rsidR="004B4228" w:rsidRPr="00891BF7" w:rsidRDefault="004B4228" w:rsidP="00045A14">
            <w:pPr>
              <w:numPr>
                <w:ilvl w:val="0"/>
                <w:numId w:val="2"/>
              </w:numPr>
              <w:tabs>
                <w:tab w:val="clear" w:pos="780"/>
                <w:tab w:val="num" w:pos="360"/>
              </w:tabs>
              <w:ind w:left="360" w:hanging="288"/>
              <w:rPr>
                <w:rFonts w:ascii="Arial" w:hAnsi="Arial" w:cs="Arial"/>
                <w:sz w:val="21"/>
                <w:szCs w:val="22"/>
              </w:rPr>
            </w:pPr>
            <w:r w:rsidRPr="00891BF7">
              <w:rPr>
                <w:rFonts w:ascii="Arial" w:hAnsi="Arial" w:cs="Arial"/>
                <w:sz w:val="21"/>
                <w:szCs w:val="22"/>
              </w:rPr>
              <w:t>Review team report</w:t>
            </w:r>
          </w:p>
          <w:p w:rsidR="004B4228" w:rsidRPr="00891BF7" w:rsidRDefault="00E95B22" w:rsidP="00045A14">
            <w:pPr>
              <w:numPr>
                <w:ilvl w:val="0"/>
                <w:numId w:val="2"/>
              </w:numPr>
              <w:tabs>
                <w:tab w:val="clear" w:pos="780"/>
                <w:tab w:val="num" w:pos="360"/>
              </w:tabs>
              <w:ind w:left="360" w:hanging="288"/>
              <w:rPr>
                <w:rFonts w:ascii="Arial" w:hAnsi="Arial" w:cs="Arial"/>
                <w:sz w:val="21"/>
                <w:szCs w:val="22"/>
              </w:rPr>
            </w:pPr>
            <w:r w:rsidRPr="00891BF7">
              <w:rPr>
                <w:rFonts w:ascii="Arial" w:hAnsi="Arial" w:cs="Arial"/>
                <w:sz w:val="21"/>
                <w:szCs w:val="22"/>
              </w:rPr>
              <w:t xml:space="preserve">Department </w:t>
            </w:r>
            <w:r w:rsidR="00C7469D" w:rsidRPr="00891BF7">
              <w:rPr>
                <w:rFonts w:ascii="Arial" w:hAnsi="Arial" w:cs="Arial"/>
                <w:sz w:val="21"/>
                <w:szCs w:val="22"/>
              </w:rPr>
              <w:t>r</w:t>
            </w:r>
            <w:r w:rsidR="004B4228" w:rsidRPr="00891BF7">
              <w:rPr>
                <w:rFonts w:ascii="Arial" w:hAnsi="Arial" w:cs="Arial"/>
                <w:sz w:val="21"/>
                <w:szCs w:val="22"/>
              </w:rPr>
              <w:t>esponse to t</w:t>
            </w:r>
            <w:r w:rsidR="00202DA5" w:rsidRPr="00891BF7">
              <w:rPr>
                <w:rFonts w:ascii="Arial" w:hAnsi="Arial" w:cs="Arial"/>
                <w:sz w:val="21"/>
                <w:szCs w:val="22"/>
              </w:rPr>
              <w:t>eam report</w:t>
            </w:r>
          </w:p>
          <w:p w:rsidR="00E95B22" w:rsidRPr="00891BF7" w:rsidRDefault="00E95B22" w:rsidP="00045A14">
            <w:pPr>
              <w:numPr>
                <w:ilvl w:val="0"/>
                <w:numId w:val="2"/>
              </w:numPr>
              <w:tabs>
                <w:tab w:val="clear" w:pos="780"/>
                <w:tab w:val="num" w:pos="360"/>
              </w:tabs>
              <w:ind w:left="360" w:hanging="288"/>
              <w:rPr>
                <w:rFonts w:ascii="Arial" w:hAnsi="Arial" w:cs="Arial"/>
                <w:sz w:val="21"/>
                <w:szCs w:val="22"/>
              </w:rPr>
            </w:pPr>
            <w:r w:rsidRPr="00891BF7">
              <w:rPr>
                <w:rFonts w:ascii="Arial" w:hAnsi="Arial" w:cs="Arial"/>
                <w:sz w:val="21"/>
                <w:szCs w:val="22"/>
              </w:rPr>
              <w:t>Dean</w:t>
            </w:r>
            <w:r w:rsidR="00570BAA">
              <w:rPr>
                <w:rFonts w:ascii="Arial" w:hAnsi="Arial" w:cs="Arial"/>
                <w:sz w:val="21"/>
                <w:szCs w:val="22"/>
              </w:rPr>
              <w:t>’s</w:t>
            </w:r>
            <w:r w:rsidRPr="00891BF7">
              <w:rPr>
                <w:rFonts w:ascii="Arial" w:hAnsi="Arial" w:cs="Arial"/>
                <w:sz w:val="21"/>
                <w:szCs w:val="22"/>
              </w:rPr>
              <w:t xml:space="preserve"> response to team report</w:t>
            </w:r>
          </w:p>
          <w:p w:rsidR="004B4228" w:rsidRPr="00891BF7" w:rsidRDefault="004B4228" w:rsidP="00045A14">
            <w:pPr>
              <w:numPr>
                <w:ilvl w:val="0"/>
                <w:numId w:val="2"/>
              </w:numPr>
              <w:tabs>
                <w:tab w:val="clear" w:pos="780"/>
                <w:tab w:val="num" w:pos="360"/>
              </w:tabs>
              <w:ind w:left="360" w:hanging="288"/>
              <w:rPr>
                <w:rFonts w:ascii="Arial" w:hAnsi="Arial" w:cs="Arial"/>
                <w:sz w:val="21"/>
                <w:szCs w:val="22"/>
              </w:rPr>
            </w:pPr>
            <w:r w:rsidRPr="00891BF7">
              <w:rPr>
                <w:rFonts w:ascii="Arial" w:hAnsi="Arial" w:cs="Arial"/>
                <w:sz w:val="21"/>
                <w:szCs w:val="22"/>
              </w:rPr>
              <w:t>All materials submitted to APRC</w:t>
            </w:r>
          </w:p>
        </w:tc>
        <w:tc>
          <w:tcPr>
            <w:tcW w:w="5040" w:type="dxa"/>
            <w:vAlign w:val="center"/>
          </w:tcPr>
          <w:p w:rsidR="004B4228" w:rsidRPr="00891BF7" w:rsidRDefault="004B4228" w:rsidP="000D7F3F">
            <w:pPr>
              <w:numPr>
                <w:ilvl w:val="0"/>
                <w:numId w:val="2"/>
              </w:numPr>
              <w:tabs>
                <w:tab w:val="clear" w:pos="780"/>
                <w:tab w:val="num" w:pos="360"/>
              </w:tabs>
              <w:ind w:left="360" w:hanging="306"/>
              <w:rPr>
                <w:rFonts w:ascii="Arial" w:hAnsi="Arial" w:cs="Arial"/>
                <w:sz w:val="21"/>
                <w:szCs w:val="22"/>
              </w:rPr>
            </w:pPr>
            <w:r w:rsidRPr="00891BF7">
              <w:rPr>
                <w:rFonts w:ascii="Arial" w:hAnsi="Arial" w:cs="Arial"/>
                <w:sz w:val="21"/>
                <w:szCs w:val="22"/>
              </w:rPr>
              <w:t>APRC review of program review packet</w:t>
            </w:r>
          </w:p>
          <w:p w:rsidR="004B4228" w:rsidRPr="00891BF7" w:rsidRDefault="00D72D4E" w:rsidP="000D7F3F">
            <w:pPr>
              <w:numPr>
                <w:ilvl w:val="0"/>
                <w:numId w:val="2"/>
              </w:numPr>
              <w:tabs>
                <w:tab w:val="clear" w:pos="780"/>
                <w:tab w:val="num" w:pos="360"/>
              </w:tabs>
              <w:ind w:left="360" w:hanging="306"/>
              <w:rPr>
                <w:rFonts w:ascii="Arial" w:hAnsi="Arial" w:cs="Arial"/>
                <w:sz w:val="21"/>
                <w:szCs w:val="22"/>
              </w:rPr>
            </w:pPr>
            <w:r w:rsidRPr="00891BF7">
              <w:rPr>
                <w:rFonts w:ascii="Arial" w:hAnsi="Arial" w:cs="Arial"/>
                <w:sz w:val="21"/>
                <w:szCs w:val="22"/>
              </w:rPr>
              <w:t>M</w:t>
            </w:r>
            <w:r w:rsidR="00202DA5" w:rsidRPr="00891BF7">
              <w:rPr>
                <w:rFonts w:ascii="Arial" w:hAnsi="Arial" w:cs="Arial"/>
                <w:sz w:val="21"/>
                <w:szCs w:val="22"/>
              </w:rPr>
              <w:t xml:space="preserve">OU between department, Dean, and </w:t>
            </w:r>
            <w:r w:rsidR="00E95B22" w:rsidRPr="00891BF7">
              <w:rPr>
                <w:rFonts w:ascii="Arial" w:hAnsi="Arial" w:cs="Arial"/>
                <w:sz w:val="21"/>
                <w:szCs w:val="22"/>
              </w:rPr>
              <w:t>Provost</w:t>
            </w:r>
          </w:p>
        </w:tc>
      </w:tr>
    </w:tbl>
    <w:p w:rsidR="0042303A" w:rsidRPr="00891BF7" w:rsidRDefault="0042303A" w:rsidP="003B21EF">
      <w:pPr>
        <w:pStyle w:val="Footer"/>
        <w:ind w:right="-540"/>
        <w:rPr>
          <w:sz w:val="22"/>
          <w:szCs w:val="22"/>
        </w:rPr>
      </w:pPr>
    </w:p>
    <w:p w:rsidR="00920A0E" w:rsidRPr="00BE38B5" w:rsidRDefault="00BE38B5" w:rsidP="00920A0E">
      <w:pPr>
        <w:pStyle w:val="Footer"/>
        <w:pBdr>
          <w:bottom w:val="single" w:sz="12" w:space="1" w:color="auto"/>
        </w:pBdr>
        <w:ind w:right="-360"/>
        <w:rPr>
          <w:rFonts w:ascii="Tahoma" w:hAnsi="Tahoma" w:cs="Tahoma"/>
          <w:sz w:val="21"/>
          <w:szCs w:val="20"/>
        </w:rPr>
      </w:pPr>
      <w:r>
        <w:rPr>
          <w:rFonts w:ascii="Tahoma" w:hAnsi="Tahoma" w:cs="Tahoma"/>
          <w:sz w:val="21"/>
          <w:szCs w:val="20"/>
        </w:rPr>
        <w:t xml:space="preserve">The </w:t>
      </w:r>
      <w:r w:rsidRPr="00BE38B5">
        <w:rPr>
          <w:rFonts w:ascii="Tahoma" w:hAnsi="Tahoma" w:cs="Tahoma"/>
          <w:sz w:val="21"/>
          <w:szCs w:val="20"/>
        </w:rPr>
        <w:t>official guidelines for the program review process are ava</w:t>
      </w:r>
      <w:r w:rsidR="00C26D83">
        <w:rPr>
          <w:rFonts w:ascii="Tahoma" w:hAnsi="Tahoma" w:cs="Tahoma"/>
          <w:sz w:val="21"/>
          <w:szCs w:val="20"/>
        </w:rPr>
        <w:t>ilable at academics.lmu.edu</w:t>
      </w:r>
      <w:r w:rsidRPr="00BE38B5">
        <w:rPr>
          <w:rFonts w:ascii="Tahoma" w:hAnsi="Tahoma" w:cs="Tahoma"/>
          <w:sz w:val="21"/>
          <w:szCs w:val="20"/>
        </w:rPr>
        <w:t>/aprc.</w:t>
      </w:r>
    </w:p>
    <w:p w:rsidR="00BE38B5" w:rsidRPr="00944679" w:rsidRDefault="00BE38B5" w:rsidP="00920A0E">
      <w:pPr>
        <w:pStyle w:val="Footer"/>
        <w:pBdr>
          <w:bottom w:val="single" w:sz="12" w:space="1" w:color="auto"/>
        </w:pBdr>
        <w:ind w:right="-360"/>
        <w:rPr>
          <w:sz w:val="32"/>
          <w:szCs w:val="32"/>
        </w:rPr>
      </w:pPr>
    </w:p>
    <w:p w:rsidR="00920A0E" w:rsidRPr="00A51F53" w:rsidRDefault="00920A0E" w:rsidP="008E17AE">
      <w:pPr>
        <w:pStyle w:val="Footer"/>
        <w:ind w:right="-540"/>
        <w:rPr>
          <w:rFonts w:ascii="Arial" w:hAnsi="Arial" w:cs="Arial"/>
          <w:sz w:val="12"/>
          <w:szCs w:val="16"/>
        </w:rPr>
      </w:pPr>
    </w:p>
    <w:p w:rsidR="006F2D18" w:rsidRPr="008E17AE" w:rsidRDefault="008E17AE" w:rsidP="008E17AE">
      <w:pPr>
        <w:pStyle w:val="Footer"/>
        <w:ind w:right="-540"/>
        <w:rPr>
          <w:rFonts w:ascii="Arial" w:hAnsi="Arial" w:cs="Arial"/>
          <w:sz w:val="16"/>
          <w:szCs w:val="16"/>
        </w:rPr>
      </w:pPr>
      <w:r w:rsidRPr="008E17AE">
        <w:rPr>
          <w:rFonts w:ascii="Arial" w:hAnsi="Arial" w:cs="Arial"/>
          <w:sz w:val="16"/>
          <w:szCs w:val="16"/>
        </w:rPr>
        <w:t>For programs with external accreditation, the chair of APRC will consult with the Dean to determine the alignment between the requirements of the discipline’s accreditation review process with those of the APRC program review process.</w:t>
      </w:r>
    </w:p>
    <w:sectPr w:rsidR="006F2D18" w:rsidRPr="008E17AE" w:rsidSect="00BE38B5">
      <w:headerReference w:type="default" r:id="rId7"/>
      <w:pgSz w:w="12240" w:h="15840" w:code="1"/>
      <w:pgMar w:top="432" w:right="1080" w:bottom="288" w:left="108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730" w:rsidRDefault="00AE6730">
      <w:r>
        <w:separator/>
      </w:r>
    </w:p>
  </w:endnote>
  <w:endnote w:type="continuationSeparator" w:id="0">
    <w:p w:rsidR="00AE6730" w:rsidRDefault="00AE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730" w:rsidRDefault="00AE6730">
      <w:r>
        <w:separator/>
      </w:r>
    </w:p>
  </w:footnote>
  <w:footnote w:type="continuationSeparator" w:id="0">
    <w:p w:rsidR="00AE6730" w:rsidRDefault="00AE6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FE" w:rsidRPr="00F37E22" w:rsidRDefault="003A0B66" w:rsidP="00504AFE">
    <w:pPr>
      <w:pStyle w:val="Footer"/>
      <w:jc w:val="right"/>
      <w:rPr>
        <w:color w:val="808080"/>
        <w:sz w:val="18"/>
        <w:szCs w:val="18"/>
      </w:rPr>
    </w:pPr>
    <w:r>
      <w:rPr>
        <w:color w:val="808080"/>
        <w:sz w:val="18"/>
        <w:szCs w:val="18"/>
      </w:rPr>
      <w:t xml:space="preserve">March </w:t>
    </w:r>
    <w:r w:rsidR="00770C9B">
      <w:rPr>
        <w:color w:val="808080"/>
        <w:sz w:val="18"/>
        <w:szCs w:val="18"/>
      </w:rPr>
      <w:t>201</w:t>
    </w:r>
    <w:r>
      <w:rPr>
        <w:color w:val="808080"/>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3A1F"/>
    <w:multiLevelType w:val="hybridMultilevel"/>
    <w:tmpl w:val="E5708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E3CB8"/>
    <w:multiLevelType w:val="hybridMultilevel"/>
    <w:tmpl w:val="397CCC68"/>
    <w:lvl w:ilvl="0" w:tplc="04090001">
      <w:start w:val="1"/>
      <w:numFmt w:val="bullet"/>
      <w:lvlText w:val=""/>
      <w:lvlJc w:val="left"/>
      <w:pPr>
        <w:tabs>
          <w:tab w:val="num" w:pos="720"/>
        </w:tabs>
        <w:ind w:left="720" w:hanging="360"/>
      </w:pPr>
      <w:rPr>
        <w:rFonts w:ascii="Symbol" w:hAnsi="Symbol" w:hint="default"/>
      </w:rPr>
    </w:lvl>
    <w:lvl w:ilvl="1" w:tplc="681A3FF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819A9"/>
    <w:multiLevelType w:val="hybridMultilevel"/>
    <w:tmpl w:val="2BEA2DB0"/>
    <w:lvl w:ilvl="0" w:tplc="0409000F">
      <w:start w:val="1"/>
      <w:numFmt w:val="decimal"/>
      <w:lvlText w:val="%1."/>
      <w:lvlJc w:val="left"/>
      <w:pPr>
        <w:tabs>
          <w:tab w:val="num" w:pos="720"/>
        </w:tabs>
        <w:ind w:left="720" w:hanging="360"/>
      </w:pPr>
    </w:lvl>
    <w:lvl w:ilvl="1" w:tplc="681A3FF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6F54CF"/>
    <w:multiLevelType w:val="hybridMultilevel"/>
    <w:tmpl w:val="8C7C1B6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DB82FC2"/>
    <w:multiLevelType w:val="multilevel"/>
    <w:tmpl w:val="E7820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28730DF"/>
    <w:multiLevelType w:val="multilevel"/>
    <w:tmpl w:val="020A7A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8464E"/>
    <w:multiLevelType w:val="hybridMultilevel"/>
    <w:tmpl w:val="E166A67A"/>
    <w:lvl w:ilvl="0" w:tplc="0409000F">
      <w:start w:val="1"/>
      <w:numFmt w:val="decimal"/>
      <w:lvlText w:val="%1."/>
      <w:lvlJc w:val="left"/>
      <w:pPr>
        <w:tabs>
          <w:tab w:val="num" w:pos="720"/>
        </w:tabs>
        <w:ind w:left="720" w:hanging="360"/>
      </w:pPr>
    </w:lvl>
    <w:lvl w:ilvl="1" w:tplc="681A3FF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D674C4"/>
    <w:multiLevelType w:val="hybridMultilevel"/>
    <w:tmpl w:val="BD0CF5DA"/>
    <w:lvl w:ilvl="0" w:tplc="0409000F">
      <w:start w:val="1"/>
      <w:numFmt w:val="decimal"/>
      <w:lvlText w:val="%1."/>
      <w:lvlJc w:val="left"/>
      <w:pPr>
        <w:tabs>
          <w:tab w:val="num" w:pos="720"/>
        </w:tabs>
        <w:ind w:left="720" w:hanging="360"/>
      </w:pPr>
    </w:lvl>
    <w:lvl w:ilvl="1" w:tplc="681A3FF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A10D6E"/>
    <w:multiLevelType w:val="hybridMultilevel"/>
    <w:tmpl w:val="B7D0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F3"/>
    <w:rsid w:val="00010577"/>
    <w:rsid w:val="0001524E"/>
    <w:rsid w:val="00016B86"/>
    <w:rsid w:val="00040C17"/>
    <w:rsid w:val="00045A14"/>
    <w:rsid w:val="000529D9"/>
    <w:rsid w:val="00073C3B"/>
    <w:rsid w:val="000A1AE5"/>
    <w:rsid w:val="000D7F3F"/>
    <w:rsid w:val="000E16D0"/>
    <w:rsid w:val="000E5B54"/>
    <w:rsid w:val="000F0550"/>
    <w:rsid w:val="001014F0"/>
    <w:rsid w:val="0013193D"/>
    <w:rsid w:val="00136041"/>
    <w:rsid w:val="00140F69"/>
    <w:rsid w:val="001779C6"/>
    <w:rsid w:val="001A7E38"/>
    <w:rsid w:val="00202DA5"/>
    <w:rsid w:val="00263D00"/>
    <w:rsid w:val="002719BD"/>
    <w:rsid w:val="00286375"/>
    <w:rsid w:val="002B02F3"/>
    <w:rsid w:val="002D44A5"/>
    <w:rsid w:val="002E3A9F"/>
    <w:rsid w:val="003034EE"/>
    <w:rsid w:val="003274CD"/>
    <w:rsid w:val="003549B5"/>
    <w:rsid w:val="00362E52"/>
    <w:rsid w:val="003A0B66"/>
    <w:rsid w:val="003B21EF"/>
    <w:rsid w:val="003C7E18"/>
    <w:rsid w:val="003E2A96"/>
    <w:rsid w:val="00410E8C"/>
    <w:rsid w:val="004159D0"/>
    <w:rsid w:val="00421495"/>
    <w:rsid w:val="0042303A"/>
    <w:rsid w:val="00485C0D"/>
    <w:rsid w:val="004A4ED7"/>
    <w:rsid w:val="004B4228"/>
    <w:rsid w:val="00504AFE"/>
    <w:rsid w:val="00547A6D"/>
    <w:rsid w:val="00570BAA"/>
    <w:rsid w:val="005A60EC"/>
    <w:rsid w:val="005B4530"/>
    <w:rsid w:val="005B7049"/>
    <w:rsid w:val="005D71A7"/>
    <w:rsid w:val="005F184E"/>
    <w:rsid w:val="005F52D2"/>
    <w:rsid w:val="006155A7"/>
    <w:rsid w:val="00627DF1"/>
    <w:rsid w:val="0065762A"/>
    <w:rsid w:val="00683ABA"/>
    <w:rsid w:val="00697DC0"/>
    <w:rsid w:val="006A45C2"/>
    <w:rsid w:val="006F2D18"/>
    <w:rsid w:val="006F3F38"/>
    <w:rsid w:val="00703B22"/>
    <w:rsid w:val="007246AD"/>
    <w:rsid w:val="0076504C"/>
    <w:rsid w:val="00770C9B"/>
    <w:rsid w:val="007A3F95"/>
    <w:rsid w:val="007B0244"/>
    <w:rsid w:val="007E5D9E"/>
    <w:rsid w:val="007E6D61"/>
    <w:rsid w:val="007E71B3"/>
    <w:rsid w:val="00835D17"/>
    <w:rsid w:val="00853AAD"/>
    <w:rsid w:val="008762BB"/>
    <w:rsid w:val="00891BF7"/>
    <w:rsid w:val="008A4BEE"/>
    <w:rsid w:val="008A66BE"/>
    <w:rsid w:val="008D6E49"/>
    <w:rsid w:val="008E0ABB"/>
    <w:rsid w:val="008E17AE"/>
    <w:rsid w:val="00920A0E"/>
    <w:rsid w:val="00935E4F"/>
    <w:rsid w:val="00944211"/>
    <w:rsid w:val="00944679"/>
    <w:rsid w:val="00952E19"/>
    <w:rsid w:val="00975A76"/>
    <w:rsid w:val="00984924"/>
    <w:rsid w:val="009B4D39"/>
    <w:rsid w:val="009C4682"/>
    <w:rsid w:val="009C73DE"/>
    <w:rsid w:val="00A31A1F"/>
    <w:rsid w:val="00A44D19"/>
    <w:rsid w:val="00A47829"/>
    <w:rsid w:val="00A51F53"/>
    <w:rsid w:val="00A52F1E"/>
    <w:rsid w:val="00A969A0"/>
    <w:rsid w:val="00AD22A7"/>
    <w:rsid w:val="00AE6730"/>
    <w:rsid w:val="00B00EB4"/>
    <w:rsid w:val="00B46FAC"/>
    <w:rsid w:val="00B53830"/>
    <w:rsid w:val="00B657D2"/>
    <w:rsid w:val="00B718FB"/>
    <w:rsid w:val="00B80111"/>
    <w:rsid w:val="00B82711"/>
    <w:rsid w:val="00B91549"/>
    <w:rsid w:val="00BD4835"/>
    <w:rsid w:val="00BE38B5"/>
    <w:rsid w:val="00BE49D4"/>
    <w:rsid w:val="00BE7DCE"/>
    <w:rsid w:val="00BF72B3"/>
    <w:rsid w:val="00C02F84"/>
    <w:rsid w:val="00C26D83"/>
    <w:rsid w:val="00C401A3"/>
    <w:rsid w:val="00C61ECF"/>
    <w:rsid w:val="00C65E16"/>
    <w:rsid w:val="00C7469D"/>
    <w:rsid w:val="00C943C2"/>
    <w:rsid w:val="00CE2230"/>
    <w:rsid w:val="00D255DF"/>
    <w:rsid w:val="00D30F39"/>
    <w:rsid w:val="00D56B82"/>
    <w:rsid w:val="00D64365"/>
    <w:rsid w:val="00D66604"/>
    <w:rsid w:val="00D725E2"/>
    <w:rsid w:val="00D72D4E"/>
    <w:rsid w:val="00D83792"/>
    <w:rsid w:val="00DB45A9"/>
    <w:rsid w:val="00E37079"/>
    <w:rsid w:val="00E95B22"/>
    <w:rsid w:val="00F05432"/>
    <w:rsid w:val="00F14D81"/>
    <w:rsid w:val="00F22FD9"/>
    <w:rsid w:val="00F37E22"/>
    <w:rsid w:val="00F448ED"/>
    <w:rsid w:val="00F61069"/>
    <w:rsid w:val="00F63CD3"/>
    <w:rsid w:val="00FC0D6B"/>
    <w:rsid w:val="00FC54D4"/>
    <w:rsid w:val="00FF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1B1F87-6BF4-4BA5-A518-D068467B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D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F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5D17"/>
    <w:pPr>
      <w:tabs>
        <w:tab w:val="center" w:pos="4320"/>
        <w:tab w:val="right" w:pos="8640"/>
      </w:tabs>
    </w:pPr>
  </w:style>
  <w:style w:type="paragraph" w:styleId="Footer">
    <w:name w:val="footer"/>
    <w:basedOn w:val="Normal"/>
    <w:rsid w:val="00835D17"/>
    <w:pPr>
      <w:tabs>
        <w:tab w:val="center" w:pos="4320"/>
        <w:tab w:val="right" w:pos="8640"/>
      </w:tabs>
    </w:pPr>
  </w:style>
  <w:style w:type="paragraph" w:styleId="NormalWeb">
    <w:name w:val="Normal (Web)"/>
    <w:basedOn w:val="Normal"/>
    <w:rsid w:val="006F2D18"/>
    <w:pPr>
      <w:spacing w:before="100" w:beforeAutospacing="1" w:after="100" w:afterAutospacing="1"/>
    </w:pPr>
  </w:style>
  <w:style w:type="character" w:styleId="Strong">
    <w:name w:val="Strong"/>
    <w:qFormat/>
    <w:rsid w:val="006F2D18"/>
    <w:rPr>
      <w:b/>
      <w:bCs/>
    </w:rPr>
  </w:style>
  <w:style w:type="paragraph" w:styleId="BodyText2">
    <w:name w:val="Body Text 2"/>
    <w:basedOn w:val="Normal"/>
    <w:link w:val="BodyText2Char"/>
    <w:rsid w:val="006F2D18"/>
    <w:rPr>
      <w:rFonts w:eastAsia="Times"/>
      <w:sz w:val="20"/>
      <w:szCs w:val="20"/>
    </w:rPr>
  </w:style>
  <w:style w:type="character" w:customStyle="1" w:styleId="BodyText2Char">
    <w:name w:val="Body Text 2 Char"/>
    <w:link w:val="BodyText2"/>
    <w:rsid w:val="006F2D18"/>
    <w:rPr>
      <w:rFonts w:eastAsia="Times"/>
    </w:rPr>
  </w:style>
  <w:style w:type="paragraph" w:styleId="ListParagraph">
    <w:name w:val="List Paragraph"/>
    <w:basedOn w:val="Normal"/>
    <w:uiPriority w:val="34"/>
    <w:qFormat/>
    <w:rsid w:val="003034EE"/>
    <w:pPr>
      <w:ind w:left="720"/>
    </w:pPr>
  </w:style>
  <w:style w:type="paragraph" w:customStyle="1" w:styleId="Default">
    <w:name w:val="Default"/>
    <w:rsid w:val="008E17A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C54D4"/>
    <w:rPr>
      <w:rFonts w:ascii="Tahoma" w:hAnsi="Tahoma" w:cs="Tahoma"/>
      <w:sz w:val="16"/>
      <w:szCs w:val="16"/>
    </w:rPr>
  </w:style>
  <w:style w:type="character" w:customStyle="1" w:styleId="BalloonTextChar">
    <w:name w:val="Balloon Text Char"/>
    <w:link w:val="BalloonText"/>
    <w:rsid w:val="00FC5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OVERVIEW OF ACADEMIC PROGRAM REVIEW</vt:lpstr>
    </vt:vector>
  </TitlesOfParts>
  <Company>Loyola Marymount University</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ACADEMIC PROGRAM REVIEW</dc:title>
  <dc:subject/>
  <dc:creator>ITS</dc:creator>
  <cp:keywords/>
  <cp:lastModifiedBy>Schmader, Christopher</cp:lastModifiedBy>
  <cp:revision>2</cp:revision>
  <cp:lastPrinted>2015-08-10T17:02:00Z</cp:lastPrinted>
  <dcterms:created xsi:type="dcterms:W3CDTF">2020-05-08T17:27:00Z</dcterms:created>
  <dcterms:modified xsi:type="dcterms:W3CDTF">2020-05-08T17:27:00Z</dcterms:modified>
</cp:coreProperties>
</file>